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8801" w14:textId="77777777" w:rsidR="001E0366" w:rsidRPr="002144D1" w:rsidRDefault="002144D1" w:rsidP="001E0366">
      <w:pPr>
        <w:pStyle w:val="Ttulo1"/>
        <w:jc w:val="center"/>
        <w:rPr>
          <w:bCs w:val="0"/>
          <w:color w:val="E36C0A" w:themeColor="accent6" w:themeShade="BF"/>
          <w:sz w:val="32"/>
          <w:szCs w:val="32"/>
          <w:lang w:val="fr-FR"/>
        </w:rPr>
      </w:pPr>
      <w:r w:rsidRPr="002144D1">
        <w:rPr>
          <w:bCs w:val="0"/>
          <w:color w:val="E36C0A" w:themeColor="accent6" w:themeShade="BF"/>
          <w:sz w:val="32"/>
          <w:szCs w:val="32"/>
          <w:lang w:val="fr-FR"/>
        </w:rPr>
        <w:t>Rapport</w:t>
      </w:r>
    </w:p>
    <w:p w14:paraId="6A484DD3" w14:textId="77777777" w:rsidR="001E0366" w:rsidRPr="002144D1" w:rsidRDefault="005D46BF" w:rsidP="005D46BF">
      <w:pPr>
        <w:pStyle w:val="Ttulo1"/>
        <w:jc w:val="center"/>
        <w:rPr>
          <w:lang w:val="fr-FR"/>
        </w:rPr>
      </w:pPr>
      <w:r w:rsidRPr="002144D1">
        <w:rPr>
          <w:bCs w:val="0"/>
          <w:color w:val="E36C0A" w:themeColor="accent6" w:themeShade="BF"/>
          <w:sz w:val="32"/>
          <w:szCs w:val="32"/>
          <w:lang w:val="fr-FR"/>
        </w:rPr>
        <w:t>G</w:t>
      </w:r>
      <w:r w:rsidR="001E0366" w:rsidRPr="002144D1">
        <w:rPr>
          <w:bCs w:val="0"/>
          <w:color w:val="E36C0A" w:themeColor="accent6" w:themeShade="BF"/>
          <w:sz w:val="32"/>
          <w:szCs w:val="32"/>
          <w:lang w:val="fr-FR"/>
        </w:rPr>
        <w:t>r</w:t>
      </w:r>
      <w:r w:rsidR="002144D1">
        <w:rPr>
          <w:bCs w:val="0"/>
          <w:color w:val="E36C0A" w:themeColor="accent6" w:themeShade="BF"/>
          <w:sz w:val="32"/>
          <w:szCs w:val="32"/>
          <w:lang w:val="fr-FR"/>
        </w:rPr>
        <w:t>oupe</w:t>
      </w:r>
      <w:r w:rsidR="001E0366" w:rsidRPr="002144D1">
        <w:rPr>
          <w:bCs w:val="0"/>
          <w:color w:val="E36C0A" w:themeColor="accent6" w:themeShade="BF"/>
          <w:sz w:val="32"/>
          <w:szCs w:val="32"/>
          <w:lang w:val="fr-FR"/>
        </w:rPr>
        <w:t xml:space="preserve"> </w:t>
      </w:r>
      <w:r w:rsidR="002144D1" w:rsidRPr="002144D1">
        <w:rPr>
          <w:bCs w:val="0"/>
          <w:color w:val="E36C0A" w:themeColor="accent6" w:themeShade="BF"/>
          <w:sz w:val="32"/>
          <w:szCs w:val="32"/>
          <w:lang w:val="fr-FR"/>
        </w:rPr>
        <w:t>Logistique du bois</w:t>
      </w:r>
    </w:p>
    <w:p w14:paraId="72DE9215" w14:textId="77777777" w:rsidR="005D46BF" w:rsidRPr="002144D1" w:rsidRDefault="002C4D4A" w:rsidP="005D46BF">
      <w:pPr>
        <w:rPr>
          <w:lang w:val="fr-FR"/>
        </w:rPr>
      </w:pPr>
      <w:r w:rsidRPr="000C50C6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2B8461D" wp14:editId="62669C40">
            <wp:simplePos x="0" y="0"/>
            <wp:positionH relativeFrom="column">
              <wp:posOffset>1825818</wp:posOffset>
            </wp:positionH>
            <wp:positionV relativeFrom="paragraph">
              <wp:posOffset>356235</wp:posOffset>
            </wp:positionV>
            <wp:extent cx="2098675" cy="2324100"/>
            <wp:effectExtent l="0" t="0" r="9525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BF" w:rsidRPr="002144D1">
        <w:rPr>
          <w:b/>
          <w:lang w:val="fr-FR"/>
        </w:rPr>
        <w:t xml:space="preserve">1. </w:t>
      </w:r>
      <w:r w:rsidR="00723588">
        <w:rPr>
          <w:b/>
          <w:lang w:val="fr-FR"/>
        </w:rPr>
        <w:t>Experts composant le groupe</w:t>
      </w:r>
      <w:r w:rsidR="005D46BF" w:rsidRPr="002144D1">
        <w:rPr>
          <w:b/>
          <w:lang w:val="fr-FR"/>
        </w:rPr>
        <w:br/>
      </w:r>
    </w:p>
    <w:p w14:paraId="5F972830" w14:textId="77777777" w:rsidR="006606D6" w:rsidRPr="002C4D4A" w:rsidRDefault="006606D6">
      <w:pPr>
        <w:rPr>
          <w:lang w:val="fr-FR"/>
        </w:rPr>
      </w:pPr>
    </w:p>
    <w:p w14:paraId="44ED9D51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6AB90B22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57ED07F8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3B578F28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291BD81C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2C3E7733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736FAEE0" w14:textId="77777777" w:rsidR="00EC7089" w:rsidRDefault="00EC7089" w:rsidP="006606D6">
      <w:pPr>
        <w:tabs>
          <w:tab w:val="left" w:pos="3660"/>
        </w:tabs>
        <w:rPr>
          <w:b/>
          <w:lang w:val="fr-FR"/>
        </w:rPr>
      </w:pPr>
    </w:p>
    <w:p w14:paraId="1E94AEEE" w14:textId="77777777" w:rsidR="006606D6" w:rsidRPr="002144D1" w:rsidRDefault="006606D6" w:rsidP="006606D6">
      <w:pPr>
        <w:tabs>
          <w:tab w:val="left" w:pos="3660"/>
        </w:tabs>
        <w:rPr>
          <w:b/>
          <w:lang w:val="fr-FR"/>
        </w:rPr>
      </w:pPr>
      <w:r w:rsidRPr="002144D1">
        <w:rPr>
          <w:b/>
          <w:lang w:val="fr-FR"/>
        </w:rPr>
        <w:t xml:space="preserve">2. </w:t>
      </w:r>
      <w:r w:rsidR="00723588">
        <w:rPr>
          <w:b/>
          <w:lang w:val="fr-FR"/>
        </w:rPr>
        <w:t xml:space="preserve">Enjeux relevés par les partenaires du Projet </w:t>
      </w:r>
      <w:proofErr w:type="spellStart"/>
      <w:r w:rsidR="00723588">
        <w:rPr>
          <w:b/>
          <w:lang w:val="fr-FR"/>
        </w:rPr>
        <w:t>Promobiomasse</w:t>
      </w:r>
      <w:proofErr w:type="spellEnd"/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25"/>
      </w:tblGrid>
      <w:tr w:rsidR="00723588" w:rsidRPr="00723588" w14:paraId="39768290" w14:textId="77777777" w:rsidTr="00723588">
        <w:trPr>
          <w:trHeight w:val="277"/>
        </w:trPr>
        <w:tc>
          <w:tcPr>
            <w:tcW w:w="568" w:type="dxa"/>
            <w:shd w:val="clear" w:color="76A5AF" w:fill="76A5AF"/>
            <w:vAlign w:val="bottom"/>
            <w:hideMark/>
          </w:tcPr>
          <w:p w14:paraId="49079523" w14:textId="77777777" w:rsidR="00723588" w:rsidRPr="00723588" w:rsidRDefault="00723588" w:rsidP="00723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</w:pPr>
            <w:r w:rsidRPr="0072358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  <w:t> </w:t>
            </w:r>
          </w:p>
        </w:tc>
        <w:tc>
          <w:tcPr>
            <w:tcW w:w="8925" w:type="dxa"/>
            <w:shd w:val="clear" w:color="76A5AF" w:fill="76A5AF"/>
            <w:vAlign w:val="bottom"/>
            <w:hideMark/>
          </w:tcPr>
          <w:p w14:paraId="42F12DCA" w14:textId="77777777" w:rsidR="00723588" w:rsidRPr="00723588" w:rsidRDefault="00723588" w:rsidP="00723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</w:pPr>
            <w:r w:rsidRPr="0072358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  <w:t>Enjeux</w:t>
            </w:r>
          </w:p>
        </w:tc>
      </w:tr>
      <w:tr w:rsidR="00723588" w:rsidRPr="00FF7EA3" w14:paraId="0D8858B3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127BA289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2C171B8A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Logistique insuffisante pour couvrir les consommations locales. (Manque de moyens/diversité de transport, d'unités locales de production ...)</w:t>
            </w:r>
          </w:p>
        </w:tc>
      </w:tr>
      <w:tr w:rsidR="00723588" w:rsidRPr="00FF7EA3" w14:paraId="44DFAB21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42BF7D28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47312EDD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Certification de la qualité de la biomasse locale</w:t>
            </w:r>
          </w:p>
        </w:tc>
      </w:tr>
      <w:tr w:rsidR="00723588" w:rsidRPr="00FF7EA3" w14:paraId="6F081A1D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53B4D878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5BE1585F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Rentabilité du transport foret - entreprises de transformation, des dessertes (stockage, séchage…)</w:t>
            </w:r>
          </w:p>
        </w:tc>
      </w:tr>
      <w:tr w:rsidR="00723588" w:rsidRPr="00FF7EA3" w14:paraId="5E89E310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24DEB011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4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0E153473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Manque de lien entre les territoires</w:t>
            </w:r>
          </w:p>
        </w:tc>
      </w:tr>
      <w:tr w:rsidR="00723588" w:rsidRPr="00FF7EA3" w14:paraId="3E623EA7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6AD8BAFF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5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178AAED7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 xml:space="preserve">Gestion intégrée des opérations de collecte et de transport de biomasse, ainsi que des </w:t>
            </w:r>
            <w:proofErr w:type="spellStart"/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dechets</w:t>
            </w:r>
            <w:proofErr w:type="spellEnd"/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 xml:space="preserve"> de production</w:t>
            </w:r>
          </w:p>
        </w:tc>
      </w:tr>
    </w:tbl>
    <w:p w14:paraId="5A0A709F" w14:textId="77777777" w:rsidR="00833729" w:rsidRPr="002144D1" w:rsidRDefault="00833729" w:rsidP="00833729">
      <w:pPr>
        <w:tabs>
          <w:tab w:val="left" w:pos="3660"/>
        </w:tabs>
        <w:rPr>
          <w:b/>
          <w:lang w:val="fr-FR"/>
        </w:rPr>
      </w:pPr>
      <w:bookmarkStart w:id="0" w:name="_GoBack"/>
      <w:bookmarkEnd w:id="0"/>
    </w:p>
    <w:p w14:paraId="5D8F6970" w14:textId="77777777" w:rsidR="00833729" w:rsidRDefault="00833729" w:rsidP="00833729">
      <w:pPr>
        <w:tabs>
          <w:tab w:val="left" w:pos="3660"/>
        </w:tabs>
        <w:rPr>
          <w:b/>
          <w:lang w:val="fr-FR"/>
        </w:rPr>
      </w:pPr>
      <w:r w:rsidRPr="002144D1">
        <w:rPr>
          <w:b/>
          <w:lang w:val="fr-FR"/>
        </w:rPr>
        <w:t xml:space="preserve">3. </w:t>
      </w:r>
      <w:r w:rsidR="00723588">
        <w:rPr>
          <w:b/>
          <w:lang w:val="fr-FR"/>
        </w:rPr>
        <w:t>Enjeux priorisés par le Groupe de travail</w:t>
      </w:r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25"/>
      </w:tblGrid>
      <w:tr w:rsidR="00723588" w:rsidRPr="00723588" w14:paraId="1221DFA6" w14:textId="77777777" w:rsidTr="00723588">
        <w:trPr>
          <w:trHeight w:val="277"/>
        </w:trPr>
        <w:tc>
          <w:tcPr>
            <w:tcW w:w="568" w:type="dxa"/>
            <w:shd w:val="clear" w:color="76A5AF" w:fill="76A5AF"/>
            <w:vAlign w:val="bottom"/>
            <w:hideMark/>
          </w:tcPr>
          <w:p w14:paraId="61CCDA2F" w14:textId="77777777" w:rsidR="00723588" w:rsidRPr="00723588" w:rsidRDefault="00723588" w:rsidP="001F3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</w:pPr>
            <w:r w:rsidRPr="0072358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  <w:t> </w:t>
            </w:r>
          </w:p>
        </w:tc>
        <w:tc>
          <w:tcPr>
            <w:tcW w:w="8925" w:type="dxa"/>
            <w:shd w:val="clear" w:color="76A5AF" w:fill="76A5AF"/>
            <w:vAlign w:val="bottom"/>
            <w:hideMark/>
          </w:tcPr>
          <w:p w14:paraId="0ADB1784" w14:textId="77777777" w:rsidR="00723588" w:rsidRPr="00723588" w:rsidRDefault="00723588" w:rsidP="001F37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</w:pPr>
            <w:r w:rsidRPr="0072358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4"/>
                <w:lang w:val="fr-FR" w:eastAsia="fr-FR"/>
              </w:rPr>
              <w:t>Enjeux</w:t>
            </w:r>
          </w:p>
        </w:tc>
      </w:tr>
      <w:tr w:rsidR="00723588" w:rsidRPr="00FF7EA3" w14:paraId="1AB0E4B1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  <w:hideMark/>
          </w:tcPr>
          <w:p w14:paraId="388D9BBA" w14:textId="77777777" w:rsidR="00723588" w:rsidRPr="00723588" w:rsidRDefault="00723588" w:rsidP="001F3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1</w:t>
            </w:r>
          </w:p>
        </w:tc>
        <w:tc>
          <w:tcPr>
            <w:tcW w:w="8925" w:type="dxa"/>
            <w:shd w:val="clear" w:color="auto" w:fill="auto"/>
            <w:noWrap/>
            <w:vAlign w:val="bottom"/>
            <w:hideMark/>
          </w:tcPr>
          <w:p w14:paraId="2B9BFFCB" w14:textId="77777777" w:rsidR="00723588" w:rsidRPr="00723588" w:rsidRDefault="00723588" w:rsidP="001F3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 xml:space="preserve">Gestion intégrée des opérations de collecte et de transport de biomasse, ainsi que des </w:t>
            </w:r>
            <w:proofErr w:type="spellStart"/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dechets</w:t>
            </w:r>
            <w:proofErr w:type="spellEnd"/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 xml:space="preserve"> de production</w:t>
            </w:r>
          </w:p>
        </w:tc>
      </w:tr>
      <w:tr w:rsidR="00723588" w:rsidRPr="00FF7EA3" w14:paraId="2178ABFD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</w:tcPr>
          <w:p w14:paraId="0F421AE4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2</w:t>
            </w:r>
          </w:p>
        </w:tc>
        <w:tc>
          <w:tcPr>
            <w:tcW w:w="8925" w:type="dxa"/>
            <w:shd w:val="clear" w:color="auto" w:fill="auto"/>
            <w:noWrap/>
            <w:vAlign w:val="bottom"/>
          </w:tcPr>
          <w:p w14:paraId="760E6654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Rentabilité du transport foret - entreprises de transformation, des dessertes (stockage, séchage…)</w:t>
            </w:r>
          </w:p>
        </w:tc>
      </w:tr>
      <w:tr w:rsidR="00723588" w:rsidRPr="00FF7EA3" w14:paraId="61CA96DC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</w:tcPr>
          <w:p w14:paraId="2D6ACBF9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3</w:t>
            </w:r>
          </w:p>
        </w:tc>
        <w:tc>
          <w:tcPr>
            <w:tcW w:w="8925" w:type="dxa"/>
            <w:shd w:val="clear" w:color="auto" w:fill="auto"/>
            <w:noWrap/>
            <w:vAlign w:val="bottom"/>
          </w:tcPr>
          <w:p w14:paraId="751FD8BC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Certification de la qualité de la biomasse locale</w:t>
            </w:r>
          </w:p>
        </w:tc>
      </w:tr>
      <w:tr w:rsidR="00723588" w:rsidRPr="00FF7EA3" w14:paraId="3B2BD717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</w:tcPr>
          <w:p w14:paraId="340A6BC9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4</w:t>
            </w:r>
          </w:p>
        </w:tc>
        <w:tc>
          <w:tcPr>
            <w:tcW w:w="8925" w:type="dxa"/>
            <w:shd w:val="clear" w:color="auto" w:fill="auto"/>
            <w:noWrap/>
            <w:vAlign w:val="bottom"/>
          </w:tcPr>
          <w:p w14:paraId="0ED5CD26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Logistique insuffisante pour couvrir les consommations locales. (Manque de moyens/diversité de transport, d'unités locales de production ...)</w:t>
            </w:r>
          </w:p>
        </w:tc>
      </w:tr>
      <w:tr w:rsidR="00723588" w:rsidRPr="00FF7EA3" w14:paraId="1C6ABF8B" w14:textId="77777777" w:rsidTr="00723588">
        <w:trPr>
          <w:trHeight w:val="312"/>
        </w:trPr>
        <w:tc>
          <w:tcPr>
            <w:tcW w:w="568" w:type="dxa"/>
            <w:shd w:val="clear" w:color="000000" w:fill="DCE6F1"/>
            <w:noWrap/>
            <w:vAlign w:val="center"/>
          </w:tcPr>
          <w:p w14:paraId="1BE74E3F" w14:textId="77777777" w:rsidR="00723588" w:rsidRPr="00723588" w:rsidRDefault="00723588" w:rsidP="00723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5</w:t>
            </w:r>
          </w:p>
        </w:tc>
        <w:tc>
          <w:tcPr>
            <w:tcW w:w="8925" w:type="dxa"/>
            <w:shd w:val="clear" w:color="auto" w:fill="auto"/>
            <w:noWrap/>
            <w:vAlign w:val="bottom"/>
          </w:tcPr>
          <w:p w14:paraId="13B185E8" w14:textId="77777777" w:rsidR="00723588" w:rsidRPr="00723588" w:rsidRDefault="00723588" w:rsidP="00723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</w:pPr>
            <w:r w:rsidRPr="00723588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fr-FR" w:eastAsia="fr-FR"/>
              </w:rPr>
              <w:t>Manque de lien entre les territoires</w:t>
            </w:r>
          </w:p>
        </w:tc>
      </w:tr>
    </w:tbl>
    <w:p w14:paraId="4642FC0E" w14:textId="77777777" w:rsidR="00226416" w:rsidRPr="002144D1" w:rsidRDefault="00226416" w:rsidP="00615167">
      <w:pPr>
        <w:rPr>
          <w:lang w:val="fr-FR"/>
        </w:rPr>
      </w:pPr>
    </w:p>
    <w:p w14:paraId="12CC86A5" w14:textId="77777777" w:rsidR="00695788" w:rsidRDefault="00695788" w:rsidP="00695788">
      <w:pPr>
        <w:tabs>
          <w:tab w:val="left" w:pos="3660"/>
        </w:tabs>
        <w:rPr>
          <w:b/>
          <w:lang w:val="fr-FR"/>
        </w:rPr>
      </w:pPr>
      <w:r w:rsidRPr="002144D1">
        <w:rPr>
          <w:b/>
          <w:lang w:val="fr-FR"/>
        </w:rPr>
        <w:t xml:space="preserve">4. </w:t>
      </w:r>
      <w:r w:rsidR="00723588">
        <w:rPr>
          <w:b/>
          <w:lang w:val="fr-FR"/>
        </w:rPr>
        <w:t>Propositions de solutions</w:t>
      </w:r>
    </w:p>
    <w:p w14:paraId="4B562E73" w14:textId="77777777" w:rsidR="00723588" w:rsidRPr="00723588" w:rsidRDefault="00723588" w:rsidP="00723588">
      <w:pPr>
        <w:tabs>
          <w:tab w:val="left" w:pos="3660"/>
        </w:tabs>
        <w:rPr>
          <w:lang w:val="fr-FR"/>
        </w:rPr>
      </w:pPr>
      <w:r w:rsidRPr="00723588">
        <w:rPr>
          <w:lang w:val="fr-FR"/>
        </w:rPr>
        <w:t>En conclusion, nous pouvons résumer que:</w:t>
      </w:r>
    </w:p>
    <w:p w14:paraId="4440C8B2" w14:textId="77777777" w:rsidR="00723588" w:rsidRPr="00723588" w:rsidRDefault="002176BB" w:rsidP="00723588">
      <w:pPr>
        <w:tabs>
          <w:tab w:val="left" w:pos="3660"/>
        </w:tabs>
        <w:rPr>
          <w:lang w:val="fr-FR"/>
        </w:rPr>
      </w:pPr>
      <w:r>
        <w:rPr>
          <w:lang w:val="fr-FR"/>
        </w:rPr>
        <w:t>• La majorité des acteurs présents estiment</w:t>
      </w:r>
      <w:r w:rsidR="00723588" w:rsidRPr="00723588">
        <w:rPr>
          <w:lang w:val="fr-FR"/>
        </w:rPr>
        <w:t xml:space="preserve"> que le défi le plus important réside </w:t>
      </w:r>
      <w:r>
        <w:rPr>
          <w:lang w:val="fr-FR"/>
        </w:rPr>
        <w:t>dans</w:t>
      </w:r>
      <w:r w:rsidR="00723588" w:rsidRPr="00723588">
        <w:rPr>
          <w:lang w:val="fr-FR"/>
        </w:rPr>
        <w:t xml:space="preserve"> la rentabilité du transport forestier, la manière de surmonter le problème du </w:t>
      </w:r>
      <w:r w:rsidR="000F399B" w:rsidRPr="00723588">
        <w:rPr>
          <w:lang w:val="fr-FR"/>
        </w:rPr>
        <w:t>stockage</w:t>
      </w:r>
      <w:r w:rsidR="00723588" w:rsidRPr="00723588">
        <w:rPr>
          <w:lang w:val="fr-FR"/>
        </w:rPr>
        <w:t xml:space="preserve"> et la nécessité d'une gestion intégrée en tant que solution au problème.</w:t>
      </w:r>
    </w:p>
    <w:p w14:paraId="0460231E" w14:textId="77777777" w:rsidR="00723588" w:rsidRPr="00723588" w:rsidRDefault="00723588" w:rsidP="00723588">
      <w:pPr>
        <w:tabs>
          <w:tab w:val="left" w:pos="3660"/>
        </w:tabs>
        <w:rPr>
          <w:lang w:val="fr-FR"/>
        </w:rPr>
      </w:pPr>
      <w:r w:rsidRPr="00723588">
        <w:rPr>
          <w:lang w:val="fr-FR"/>
        </w:rPr>
        <w:t>• Ils soulignent la différence de concept dans le modèle français et dans le reste, en tenant compte du fait qu'en France il existe de nombreu</w:t>
      </w:r>
      <w:r w:rsidR="002176BB">
        <w:rPr>
          <w:lang w:val="fr-FR"/>
        </w:rPr>
        <w:t>ses</w:t>
      </w:r>
      <w:r w:rsidRPr="00723588">
        <w:rPr>
          <w:lang w:val="fr-FR"/>
        </w:rPr>
        <w:t xml:space="preserve"> aides et que le pari polit</w:t>
      </w:r>
      <w:r w:rsidR="00AD02F6">
        <w:rPr>
          <w:lang w:val="fr-FR"/>
        </w:rPr>
        <w:t>ique est clair pour l'exploitation en</w:t>
      </w:r>
      <w:r w:rsidRPr="00723588">
        <w:rPr>
          <w:lang w:val="fr-FR"/>
        </w:rPr>
        <w:t xml:space="preserve"> montagne, que bien que le coût soit plus élevé </w:t>
      </w:r>
      <w:r w:rsidR="00AD02F6">
        <w:rPr>
          <w:lang w:val="fr-FR"/>
        </w:rPr>
        <w:t>il est</w:t>
      </w:r>
      <w:r w:rsidRPr="00723588">
        <w:rPr>
          <w:lang w:val="fr-FR"/>
        </w:rPr>
        <w:t xml:space="preserve"> compensé par d'autres zones plus plates </w:t>
      </w:r>
      <w:r w:rsidR="00AD02F6">
        <w:rPr>
          <w:lang w:val="fr-FR"/>
        </w:rPr>
        <w:t>faisant</w:t>
      </w:r>
      <w:r w:rsidRPr="00723588">
        <w:rPr>
          <w:lang w:val="fr-FR"/>
        </w:rPr>
        <w:t xml:space="preserve"> une moyenne de</w:t>
      </w:r>
      <w:r w:rsidR="00AD02F6">
        <w:rPr>
          <w:lang w:val="fr-FR"/>
        </w:rPr>
        <w:t>s</w:t>
      </w:r>
      <w:r w:rsidRPr="00723588">
        <w:rPr>
          <w:lang w:val="fr-FR"/>
        </w:rPr>
        <w:t xml:space="preserve"> résultats.</w:t>
      </w:r>
    </w:p>
    <w:p w14:paraId="772FF031" w14:textId="77777777" w:rsidR="0083758B" w:rsidRDefault="00723588" w:rsidP="00723588">
      <w:pPr>
        <w:tabs>
          <w:tab w:val="left" w:pos="3660"/>
        </w:tabs>
        <w:rPr>
          <w:lang w:val="fr-FR"/>
        </w:rPr>
      </w:pPr>
      <w:r w:rsidRPr="00723588">
        <w:rPr>
          <w:lang w:val="fr-FR"/>
        </w:rPr>
        <w:t xml:space="preserve">• </w:t>
      </w:r>
      <w:r w:rsidR="0083758B" w:rsidRPr="0083758B">
        <w:rPr>
          <w:lang w:val="fr-FR"/>
        </w:rPr>
        <w:t xml:space="preserve">Nécessité de connaître les </w:t>
      </w:r>
      <w:r w:rsidR="0083758B">
        <w:rPr>
          <w:lang w:val="fr-FR"/>
        </w:rPr>
        <w:t>mesures d’</w:t>
      </w:r>
      <w:r w:rsidR="0083758B" w:rsidRPr="0083758B">
        <w:rPr>
          <w:lang w:val="fr-FR"/>
        </w:rPr>
        <w:t>incitations et le fon</w:t>
      </w:r>
      <w:r w:rsidR="0083758B">
        <w:rPr>
          <w:lang w:val="fr-FR"/>
        </w:rPr>
        <w:t>ctionnement du modèle français d’</w:t>
      </w:r>
      <w:r w:rsidR="0083758B" w:rsidRPr="0083758B">
        <w:rPr>
          <w:lang w:val="fr-FR"/>
        </w:rPr>
        <w:t>attribu</w:t>
      </w:r>
      <w:r w:rsidR="0083758B">
        <w:rPr>
          <w:lang w:val="fr-FR"/>
        </w:rPr>
        <w:t>tion</w:t>
      </w:r>
      <w:r w:rsidR="0083758B" w:rsidRPr="0083758B">
        <w:rPr>
          <w:lang w:val="fr-FR"/>
        </w:rPr>
        <w:t xml:space="preserve"> et en tenant compte de l'importance du local / autochtone dans le cahier des charges.</w:t>
      </w:r>
    </w:p>
    <w:p w14:paraId="051E6DC8" w14:textId="77777777" w:rsidR="00723588" w:rsidRPr="00723588" w:rsidRDefault="00723588" w:rsidP="00723588">
      <w:pPr>
        <w:tabs>
          <w:tab w:val="left" w:pos="3660"/>
        </w:tabs>
        <w:rPr>
          <w:lang w:val="fr-FR"/>
        </w:rPr>
      </w:pPr>
      <w:r w:rsidRPr="00723588">
        <w:rPr>
          <w:lang w:val="fr-FR"/>
        </w:rPr>
        <w:t>• L</w:t>
      </w:r>
      <w:r w:rsidR="00AD02F6">
        <w:rPr>
          <w:lang w:val="fr-FR"/>
        </w:rPr>
        <w:t>a topographie</w:t>
      </w:r>
      <w:r w:rsidRPr="00723588">
        <w:rPr>
          <w:lang w:val="fr-FR"/>
        </w:rPr>
        <w:t xml:space="preserve"> est également remarquable car elle implique de grandes différences dans le traitement des matières et leur transport.</w:t>
      </w:r>
    </w:p>
    <w:p w14:paraId="7B664D5F" w14:textId="77777777" w:rsidR="00B3541D" w:rsidRPr="00AD02F6" w:rsidRDefault="00723588" w:rsidP="00AD02F6">
      <w:pPr>
        <w:tabs>
          <w:tab w:val="left" w:pos="3660"/>
        </w:tabs>
        <w:rPr>
          <w:lang w:val="fr-FR"/>
        </w:rPr>
      </w:pPr>
      <w:r w:rsidRPr="00723588">
        <w:rPr>
          <w:lang w:val="fr-FR"/>
        </w:rPr>
        <w:t>• La nécessité d'un financement pour corriger les pertes de stockage et d'accès aux matières premières</w:t>
      </w:r>
    </w:p>
    <w:p w14:paraId="1EB32CCD" w14:textId="77777777" w:rsidR="00B3541D" w:rsidRPr="002144D1" w:rsidRDefault="001D3F16" w:rsidP="00695788">
      <w:pPr>
        <w:tabs>
          <w:tab w:val="left" w:pos="3660"/>
        </w:tabs>
        <w:rPr>
          <w:b/>
          <w:lang w:val="fr-FR"/>
        </w:rPr>
      </w:pPr>
      <w:r>
        <w:rPr>
          <w:b/>
          <w:lang w:val="fr-FR"/>
        </w:rPr>
        <w:t xml:space="preserve">Comme solutions, ils proposent </w:t>
      </w:r>
      <w:r w:rsidR="008F4D0A" w:rsidRPr="002144D1">
        <w:rPr>
          <w:b/>
          <w:lang w:val="fr-FR"/>
        </w:rPr>
        <w:t xml:space="preserve">: </w:t>
      </w:r>
    </w:p>
    <w:p w14:paraId="5ACA6E8A" w14:textId="77777777" w:rsidR="000F32D9" w:rsidRPr="002144D1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>1.-</w:t>
      </w:r>
      <w:r w:rsidR="001D3F16" w:rsidRPr="00057158">
        <w:rPr>
          <w:lang w:val="fr-FR"/>
        </w:rPr>
        <w:t xml:space="preserve"> </w:t>
      </w:r>
      <w:r w:rsidR="001D3F16" w:rsidRPr="001D3F16">
        <w:rPr>
          <w:lang w:val="fr-FR"/>
        </w:rPr>
        <w:t xml:space="preserve">Lignes de financement pour le </w:t>
      </w:r>
      <w:proofErr w:type="spellStart"/>
      <w:r w:rsidR="001D3F16" w:rsidRPr="001D3F16">
        <w:rPr>
          <w:lang w:val="fr-FR"/>
        </w:rPr>
        <w:t>stocage</w:t>
      </w:r>
      <w:proofErr w:type="spellEnd"/>
      <w:r w:rsidR="001D3F16" w:rsidRPr="001D3F16">
        <w:rPr>
          <w:lang w:val="fr-FR"/>
        </w:rPr>
        <w:t xml:space="preserve"> de la biomasse.</w:t>
      </w:r>
    </w:p>
    <w:p w14:paraId="22FF9B92" w14:textId="77777777" w:rsidR="000F32D9" w:rsidRPr="00FF7EA3" w:rsidRDefault="000F32D9" w:rsidP="00057158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>2.-</w:t>
      </w:r>
      <w:r w:rsidR="001D3F16" w:rsidRPr="003D3416">
        <w:rPr>
          <w:lang w:val="fr-FR"/>
        </w:rPr>
        <w:t xml:space="preserve"> </w:t>
      </w:r>
      <w:r w:rsidR="001D3F16" w:rsidRPr="001D3F16">
        <w:rPr>
          <w:lang w:val="fr-FR"/>
        </w:rPr>
        <w:t>Constituer un annuaire, un répertoire d'entreprises.</w:t>
      </w:r>
      <w:r w:rsidR="00057158">
        <w:rPr>
          <w:lang w:val="fr-FR"/>
        </w:rPr>
        <w:t xml:space="preserve"> </w:t>
      </w:r>
      <w:r w:rsidR="00057158" w:rsidRPr="00FF7EA3">
        <w:rPr>
          <w:lang w:val="fr-FR"/>
        </w:rPr>
        <w:t>En Catalogne, il y a l'Observatoire Catalan des Forêts, une collection d'entreprises forestières en Catalogne.</w:t>
      </w:r>
      <w:r w:rsidR="00057158" w:rsidRPr="00FF7EA3">
        <w:rPr>
          <w:lang w:val="fr-FR"/>
        </w:rPr>
        <w:tab/>
      </w:r>
    </w:p>
    <w:p w14:paraId="42FFF80C" w14:textId="77777777" w:rsidR="000F32D9" w:rsidRPr="00FF7EA3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>3.-</w:t>
      </w:r>
      <w:r w:rsidR="001D3F16" w:rsidRPr="003D3416">
        <w:rPr>
          <w:lang w:val="fr-FR"/>
        </w:rPr>
        <w:t xml:space="preserve"> </w:t>
      </w:r>
      <w:r w:rsidR="001D3F16" w:rsidRPr="001D3F16">
        <w:rPr>
          <w:lang w:val="fr-FR"/>
        </w:rPr>
        <w:t>Certificat de qualité de la p</w:t>
      </w:r>
      <w:r w:rsidR="001D3F16">
        <w:rPr>
          <w:lang w:val="fr-FR"/>
        </w:rPr>
        <w:t>laquette</w:t>
      </w:r>
      <w:r w:rsidR="001D3F16" w:rsidRPr="001D3F16">
        <w:rPr>
          <w:lang w:val="fr-FR"/>
        </w:rPr>
        <w:t>.</w:t>
      </w:r>
      <w:r w:rsidR="00057158">
        <w:rPr>
          <w:lang w:val="fr-FR"/>
        </w:rPr>
        <w:t xml:space="preserve"> </w:t>
      </w:r>
      <w:r w:rsidR="00057158" w:rsidRPr="00FF7EA3">
        <w:rPr>
          <w:rStyle w:val="tlid-translation"/>
          <w:lang w:val="fr-FR"/>
        </w:rPr>
        <w:t xml:space="preserve">Au niveau de l'Espagne, il existe le certificat </w:t>
      </w:r>
      <w:proofErr w:type="spellStart"/>
      <w:r w:rsidR="00057158" w:rsidRPr="00FF7EA3">
        <w:rPr>
          <w:rStyle w:val="tlid-translation"/>
          <w:lang w:val="fr-FR"/>
        </w:rPr>
        <w:t>Biomasud</w:t>
      </w:r>
      <w:proofErr w:type="spellEnd"/>
      <w:r w:rsidR="00057158" w:rsidRPr="00FF7EA3">
        <w:rPr>
          <w:rStyle w:val="tlid-translation"/>
          <w:lang w:val="fr-FR"/>
        </w:rPr>
        <w:t xml:space="preserve"> pour les biocarburants méditerranéens.</w:t>
      </w:r>
    </w:p>
    <w:p w14:paraId="70DBAD30" w14:textId="77777777" w:rsidR="000F32D9" w:rsidRPr="001D3F16" w:rsidRDefault="000F32D9" w:rsidP="003D3416">
      <w:pPr>
        <w:pStyle w:val="Prrafodelista"/>
        <w:numPr>
          <w:ilvl w:val="0"/>
          <w:numId w:val="7"/>
        </w:numPr>
        <w:ind w:left="1843" w:hanging="425"/>
        <w:jc w:val="both"/>
        <w:rPr>
          <w:lang w:val="fr-FR"/>
        </w:rPr>
      </w:pPr>
      <w:r w:rsidRPr="002144D1">
        <w:rPr>
          <w:lang w:val="fr-FR"/>
        </w:rPr>
        <w:t xml:space="preserve">4.- </w:t>
      </w:r>
      <w:r w:rsidR="001D3F16" w:rsidRPr="001D3F16">
        <w:rPr>
          <w:lang w:val="fr-FR"/>
        </w:rPr>
        <w:t xml:space="preserve">Création d'un réseau </w:t>
      </w:r>
      <w:r w:rsidR="001D3F16">
        <w:rPr>
          <w:lang w:val="fr-FR"/>
        </w:rPr>
        <w:t xml:space="preserve">d’exploitation et </w:t>
      </w:r>
      <w:r w:rsidR="001D3F16" w:rsidRPr="001D3F16">
        <w:rPr>
          <w:lang w:val="fr-FR"/>
        </w:rPr>
        <w:t>d'exploita</w:t>
      </w:r>
      <w:r w:rsidR="001D3F16">
        <w:rPr>
          <w:lang w:val="fr-FR"/>
        </w:rPr>
        <w:t>nts de la biomasse</w:t>
      </w:r>
      <w:r w:rsidR="001D3F16" w:rsidRPr="001D3F16">
        <w:rPr>
          <w:lang w:val="fr-FR"/>
        </w:rPr>
        <w:t>.</w:t>
      </w:r>
    </w:p>
    <w:p w14:paraId="368FF98F" w14:textId="77777777" w:rsidR="000F32D9" w:rsidRPr="002144D1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 xml:space="preserve">5.- </w:t>
      </w:r>
      <w:r w:rsidR="001D3F16" w:rsidRPr="001D3F16">
        <w:rPr>
          <w:lang w:val="fr-FR"/>
        </w:rPr>
        <w:t>Aides à la montagne.</w:t>
      </w:r>
    </w:p>
    <w:p w14:paraId="4C65A4D0" w14:textId="77777777" w:rsidR="000F32D9" w:rsidRPr="002144D1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 xml:space="preserve">6.- </w:t>
      </w:r>
      <w:r w:rsidR="001D3F16" w:rsidRPr="001D3F16">
        <w:rPr>
          <w:lang w:val="fr-FR"/>
        </w:rPr>
        <w:t>Lignes de subvention de camions pneumatiques.</w:t>
      </w:r>
    </w:p>
    <w:p w14:paraId="72708C70" w14:textId="77777777" w:rsidR="000F32D9" w:rsidRPr="002144D1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 xml:space="preserve">7.- </w:t>
      </w:r>
      <w:r w:rsidR="001D3F16" w:rsidRPr="001D3F16">
        <w:rPr>
          <w:lang w:val="fr-FR"/>
        </w:rPr>
        <w:t>Faciliter la gestion des routes d'accès</w:t>
      </w:r>
    </w:p>
    <w:p w14:paraId="62C88C76" w14:textId="77777777" w:rsidR="000F32D9" w:rsidRPr="002144D1" w:rsidRDefault="000F32D9" w:rsidP="001D3F16">
      <w:pPr>
        <w:pStyle w:val="Prrafodelista"/>
        <w:numPr>
          <w:ilvl w:val="0"/>
          <w:numId w:val="5"/>
        </w:numPr>
        <w:jc w:val="both"/>
        <w:rPr>
          <w:lang w:val="fr-FR"/>
        </w:rPr>
      </w:pPr>
      <w:r w:rsidRPr="002144D1">
        <w:rPr>
          <w:lang w:val="fr-FR"/>
        </w:rPr>
        <w:t xml:space="preserve">8.- </w:t>
      </w:r>
      <w:r w:rsidR="001D3F16" w:rsidRPr="001D3F16">
        <w:rPr>
          <w:lang w:val="fr-FR"/>
        </w:rPr>
        <w:t>Formation. Vision globale de l’opérateur.</w:t>
      </w:r>
    </w:p>
    <w:p w14:paraId="42C17ABC" w14:textId="77777777" w:rsidR="000F32D9" w:rsidRPr="002144D1" w:rsidRDefault="000F32D9" w:rsidP="00695788">
      <w:pPr>
        <w:tabs>
          <w:tab w:val="left" w:pos="3660"/>
        </w:tabs>
        <w:rPr>
          <w:b/>
          <w:lang w:val="fr-FR"/>
        </w:rPr>
      </w:pPr>
    </w:p>
    <w:p w14:paraId="138E5F68" w14:textId="77777777" w:rsidR="00226416" w:rsidRPr="002144D1" w:rsidRDefault="00226416" w:rsidP="00615167">
      <w:pPr>
        <w:rPr>
          <w:lang w:val="fr-FR"/>
        </w:rPr>
      </w:pPr>
    </w:p>
    <w:p w14:paraId="57EEDBD7" w14:textId="77777777" w:rsidR="00226416" w:rsidRPr="002144D1" w:rsidRDefault="00226416" w:rsidP="00615167">
      <w:pPr>
        <w:rPr>
          <w:lang w:val="fr-FR"/>
        </w:rPr>
      </w:pPr>
    </w:p>
    <w:p w14:paraId="0174B6C1" w14:textId="77777777" w:rsidR="00DC059E" w:rsidRPr="002144D1" w:rsidRDefault="00DC059E" w:rsidP="00615167">
      <w:pPr>
        <w:rPr>
          <w:lang w:val="fr-FR"/>
        </w:rPr>
      </w:pPr>
    </w:p>
    <w:p w14:paraId="7593AFF3" w14:textId="77777777" w:rsidR="00226416" w:rsidRPr="002144D1" w:rsidRDefault="00226416" w:rsidP="00615167">
      <w:pPr>
        <w:rPr>
          <w:lang w:val="fr-FR"/>
        </w:rPr>
      </w:pPr>
    </w:p>
    <w:p w14:paraId="3DD1F311" w14:textId="77777777" w:rsidR="00226416" w:rsidRPr="002144D1" w:rsidRDefault="00226416" w:rsidP="00615167">
      <w:pPr>
        <w:rPr>
          <w:b/>
          <w:lang w:val="fr-FR"/>
        </w:rPr>
      </w:pPr>
      <w:r w:rsidRPr="002144D1">
        <w:rPr>
          <w:b/>
          <w:lang w:val="fr-FR"/>
        </w:rPr>
        <w:t xml:space="preserve">5. </w:t>
      </w:r>
      <w:r w:rsidR="001D3F16">
        <w:rPr>
          <w:rFonts w:ascii="Calibri" w:eastAsia="Times New Roman" w:hAnsi="Calibri" w:cs="Times New Roman"/>
          <w:b/>
          <w:color w:val="000000"/>
          <w:lang w:val="fr-FR" w:eastAsia="es-ES"/>
        </w:rPr>
        <w:t>Prochains thèmes de débat</w:t>
      </w:r>
    </w:p>
    <w:p w14:paraId="3A66A6DF" w14:textId="77777777" w:rsidR="009F0E28" w:rsidRPr="002144D1" w:rsidRDefault="009F0E28" w:rsidP="009F0E28">
      <w:pPr>
        <w:rPr>
          <w:rFonts w:ascii="Calibri" w:eastAsia="Times New Roman" w:hAnsi="Calibri" w:cs="Times New Roman"/>
          <w:lang w:val="fr-FR" w:eastAsia="es-ES"/>
        </w:rPr>
      </w:pPr>
      <w:r w:rsidRPr="002144D1">
        <w:rPr>
          <w:rFonts w:ascii="Calibri" w:eastAsia="Times New Roman" w:hAnsi="Calibri" w:cs="Times New Roman"/>
          <w:lang w:val="fr-FR" w:eastAsia="es-ES"/>
        </w:rPr>
        <w:t xml:space="preserve">5.1. </w:t>
      </w:r>
      <w:r w:rsidR="001D3F16">
        <w:rPr>
          <w:rFonts w:ascii="Calibri" w:eastAsia="Times New Roman" w:hAnsi="Calibri" w:cs="Times New Roman"/>
          <w:lang w:val="fr-FR" w:eastAsia="es-ES"/>
        </w:rPr>
        <w:t>Proposition au niveau des administrations</w:t>
      </w:r>
    </w:p>
    <w:p w14:paraId="0F1C8EBC" w14:textId="77777777" w:rsidR="001D3F16" w:rsidRDefault="001D3F16" w:rsidP="001D3F1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1D3F16">
        <w:rPr>
          <w:rFonts w:ascii="Calibri" w:eastAsia="Times New Roman" w:hAnsi="Calibri" w:cs="Times New Roman"/>
          <w:color w:val="000000"/>
          <w:lang w:val="fr-FR" w:eastAsia="es-ES"/>
        </w:rPr>
        <w:t xml:space="preserve">Création de lignes de subvention pour </w:t>
      </w:r>
      <w:r>
        <w:rPr>
          <w:rFonts w:ascii="Calibri" w:eastAsia="Times New Roman" w:hAnsi="Calibri" w:cs="Times New Roman"/>
          <w:color w:val="000000"/>
          <w:lang w:val="fr-FR" w:eastAsia="es-ES"/>
        </w:rPr>
        <w:t>le s</w:t>
      </w:r>
      <w:r w:rsidRPr="001D3F16">
        <w:rPr>
          <w:rFonts w:ascii="Calibri" w:eastAsia="Times New Roman" w:hAnsi="Calibri" w:cs="Times New Roman"/>
          <w:color w:val="000000"/>
          <w:lang w:val="fr-FR" w:eastAsia="es-ES"/>
        </w:rPr>
        <w:t>tockage</w:t>
      </w:r>
      <w:r w:rsidR="00057158">
        <w:rPr>
          <w:rFonts w:ascii="Calibri" w:eastAsia="Times New Roman" w:hAnsi="Calibri" w:cs="Times New Roman"/>
          <w:color w:val="000000"/>
          <w:lang w:val="fr-FR" w:eastAsia="es-ES"/>
        </w:rPr>
        <w:t xml:space="preserve"> du bois et biomasse. </w:t>
      </w:r>
    </w:p>
    <w:p w14:paraId="559C6DFB" w14:textId="77777777" w:rsidR="001D3F16" w:rsidRDefault="001D3F16" w:rsidP="001D3F1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1D3F16">
        <w:rPr>
          <w:rFonts w:ascii="Calibri" w:eastAsia="Times New Roman" w:hAnsi="Calibri" w:cs="Times New Roman"/>
          <w:color w:val="000000"/>
          <w:lang w:val="fr-FR" w:eastAsia="es-ES"/>
        </w:rPr>
        <w:t>Création de liens de subvention pour les camions pneumatiques</w:t>
      </w:r>
    </w:p>
    <w:p w14:paraId="6D340C0D" w14:textId="77777777" w:rsidR="001D3F16" w:rsidRDefault="001D3F16" w:rsidP="006768B7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1D3F16">
        <w:rPr>
          <w:rFonts w:ascii="Calibri" w:eastAsia="Times New Roman" w:hAnsi="Calibri" w:cs="Times New Roman"/>
          <w:color w:val="000000"/>
          <w:lang w:val="fr-FR" w:eastAsia="es-ES"/>
        </w:rPr>
        <w:t>Amélioration de l'infrastructure d'accès aux masses forestières avec le soutien des administrations.</w:t>
      </w:r>
    </w:p>
    <w:p w14:paraId="00BF2EB6" w14:textId="77777777" w:rsidR="001D3F16" w:rsidRDefault="001D3F16" w:rsidP="001D3F1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val="fr-FR" w:eastAsia="es-ES"/>
        </w:rPr>
      </w:pPr>
      <w:r w:rsidRPr="001D3F16">
        <w:rPr>
          <w:rFonts w:ascii="Calibri" w:eastAsia="Times New Roman" w:hAnsi="Calibri" w:cs="Times New Roman"/>
          <w:color w:val="000000"/>
          <w:lang w:val="fr-FR" w:eastAsia="es-ES"/>
        </w:rPr>
        <w:t>Inclure ces lignes de travail dans l'aide aux zones de montagne (modèle français).</w:t>
      </w:r>
    </w:p>
    <w:p w14:paraId="416FA374" w14:textId="77777777" w:rsidR="001D3F16" w:rsidRPr="001D3F16" w:rsidRDefault="001D3F16" w:rsidP="001D3F16">
      <w:pPr>
        <w:rPr>
          <w:rFonts w:ascii="Calibri" w:eastAsia="Times New Roman" w:hAnsi="Calibri" w:cs="Times New Roman"/>
          <w:color w:val="000000"/>
          <w:lang w:val="fr-FR" w:eastAsia="es-ES"/>
        </w:rPr>
      </w:pPr>
    </w:p>
    <w:p w14:paraId="72DE80D7" w14:textId="77777777" w:rsidR="006768B7" w:rsidRPr="002144D1" w:rsidRDefault="006768B7" w:rsidP="006768B7">
      <w:pPr>
        <w:rPr>
          <w:rFonts w:ascii="Calibri" w:eastAsia="Times New Roman" w:hAnsi="Calibri" w:cs="Times New Roman"/>
          <w:color w:val="000000"/>
          <w:lang w:val="fr-FR" w:eastAsia="es-ES"/>
        </w:rPr>
      </w:pPr>
      <w:r w:rsidRPr="002144D1">
        <w:rPr>
          <w:rFonts w:ascii="Calibri" w:eastAsia="Times New Roman" w:hAnsi="Calibri" w:cs="Times New Roman"/>
          <w:color w:val="000000"/>
          <w:lang w:val="fr-FR" w:eastAsia="es-ES"/>
        </w:rPr>
        <w:t xml:space="preserve">5.2.: </w:t>
      </w:r>
      <w:r w:rsidR="001D3F16">
        <w:rPr>
          <w:rFonts w:ascii="Calibri" w:eastAsia="Times New Roman" w:hAnsi="Calibri" w:cs="Times New Roman"/>
          <w:color w:val="000000"/>
          <w:lang w:val="fr-FR" w:eastAsia="es-ES"/>
        </w:rPr>
        <w:t>proposition au niveau du secteur privé : Structuration des agents</w:t>
      </w:r>
    </w:p>
    <w:p w14:paraId="5D01AC65" w14:textId="77777777" w:rsidR="001D3F16" w:rsidRDefault="001D3F16" w:rsidP="001D3F16">
      <w:pPr>
        <w:pStyle w:val="Prrafodelista"/>
        <w:numPr>
          <w:ilvl w:val="0"/>
          <w:numId w:val="7"/>
        </w:numPr>
        <w:jc w:val="both"/>
        <w:rPr>
          <w:lang w:val="fr-FR"/>
        </w:rPr>
      </w:pPr>
      <w:r w:rsidRPr="001D3F16">
        <w:rPr>
          <w:lang w:val="fr-FR"/>
        </w:rPr>
        <w:t>Constituer un annuaire, un répertoire d’entreprises.</w:t>
      </w:r>
    </w:p>
    <w:p w14:paraId="243F74F0" w14:textId="77777777" w:rsidR="001D3F16" w:rsidRDefault="001D3F16" w:rsidP="006768B7">
      <w:pPr>
        <w:pStyle w:val="Prrafodelista"/>
        <w:numPr>
          <w:ilvl w:val="0"/>
          <w:numId w:val="7"/>
        </w:numPr>
        <w:jc w:val="both"/>
        <w:rPr>
          <w:lang w:val="fr-FR"/>
        </w:rPr>
      </w:pPr>
      <w:r w:rsidRPr="001D3F16">
        <w:rPr>
          <w:lang w:val="fr-FR"/>
        </w:rPr>
        <w:t>Certificat de qualité de la p</w:t>
      </w:r>
      <w:r>
        <w:rPr>
          <w:lang w:val="fr-FR"/>
        </w:rPr>
        <w:t>laquette</w:t>
      </w:r>
      <w:r w:rsidRPr="001D3F16">
        <w:rPr>
          <w:lang w:val="fr-FR"/>
        </w:rPr>
        <w:t>.</w:t>
      </w:r>
    </w:p>
    <w:p w14:paraId="3175D149" w14:textId="77777777" w:rsidR="006768B7" w:rsidRPr="001D3F16" w:rsidRDefault="001D3F16" w:rsidP="006768B7">
      <w:pPr>
        <w:pStyle w:val="Prrafodelista"/>
        <w:numPr>
          <w:ilvl w:val="0"/>
          <w:numId w:val="7"/>
        </w:numPr>
        <w:jc w:val="both"/>
        <w:rPr>
          <w:lang w:val="fr-FR"/>
        </w:rPr>
      </w:pPr>
      <w:r w:rsidRPr="001D3F16">
        <w:rPr>
          <w:lang w:val="fr-FR"/>
        </w:rPr>
        <w:t xml:space="preserve">Création d'un réseau </w:t>
      </w:r>
      <w:r>
        <w:rPr>
          <w:lang w:val="fr-FR"/>
        </w:rPr>
        <w:t xml:space="preserve">d’exploitation et </w:t>
      </w:r>
      <w:r w:rsidRPr="001D3F16">
        <w:rPr>
          <w:lang w:val="fr-FR"/>
        </w:rPr>
        <w:t>d'exploita</w:t>
      </w:r>
      <w:r>
        <w:rPr>
          <w:lang w:val="fr-FR"/>
        </w:rPr>
        <w:t>nts de la biomasse</w:t>
      </w:r>
      <w:r w:rsidR="006768B7" w:rsidRPr="001D3F16">
        <w:rPr>
          <w:lang w:val="fr-FR"/>
        </w:rPr>
        <w:t>.</w:t>
      </w:r>
    </w:p>
    <w:p w14:paraId="0FEABCE8" w14:textId="77777777" w:rsidR="009F0E28" w:rsidRPr="001D3F16" w:rsidRDefault="009F0E28" w:rsidP="00615167">
      <w:pPr>
        <w:rPr>
          <w:b/>
          <w:lang w:val="fr-FR"/>
        </w:rPr>
      </w:pPr>
    </w:p>
    <w:p w14:paraId="3B5DCC86" w14:textId="77777777" w:rsidR="00226416" w:rsidRPr="002144D1" w:rsidRDefault="00226416" w:rsidP="00226416">
      <w:pPr>
        <w:rPr>
          <w:lang w:val="fr-FR"/>
        </w:rPr>
      </w:pPr>
      <w:r w:rsidRPr="002144D1">
        <w:rPr>
          <w:lang w:val="fr-FR"/>
        </w:rPr>
        <w:t xml:space="preserve">6. </w:t>
      </w:r>
      <w:r w:rsidR="001D3F16">
        <w:rPr>
          <w:rFonts w:ascii="Calibri" w:eastAsia="Times New Roman" w:hAnsi="Calibri" w:cs="Times New Roman"/>
          <w:color w:val="000000"/>
          <w:lang w:val="fr-FR" w:eastAsia="es-ES"/>
        </w:rPr>
        <w:t>Autres propositions</w:t>
      </w:r>
    </w:p>
    <w:p w14:paraId="187C0C05" w14:textId="77777777" w:rsidR="00226416" w:rsidRPr="0083758B" w:rsidRDefault="001D3F16" w:rsidP="0083758B">
      <w:pPr>
        <w:pStyle w:val="Prrafodelista"/>
        <w:numPr>
          <w:ilvl w:val="0"/>
          <w:numId w:val="8"/>
        </w:numPr>
        <w:rPr>
          <w:lang w:val="fr-FR"/>
        </w:rPr>
      </w:pPr>
      <w:r w:rsidRPr="0083758B">
        <w:rPr>
          <w:rFonts w:ascii="Calibri" w:eastAsia="Times New Roman" w:hAnsi="Calibri" w:cs="Times New Roman"/>
          <w:color w:val="000000"/>
          <w:lang w:val="fr-FR" w:eastAsia="es-ES"/>
        </w:rPr>
        <w:t>Niveau Régional</w:t>
      </w:r>
      <w:r w:rsidR="006768B7" w:rsidRPr="0083758B">
        <w:rPr>
          <w:lang w:val="fr-FR"/>
        </w:rPr>
        <w:t xml:space="preserve">: </w:t>
      </w:r>
      <w:r w:rsidR="00226416" w:rsidRPr="0083758B">
        <w:rPr>
          <w:lang w:val="fr-FR"/>
        </w:rPr>
        <w:br/>
      </w:r>
      <w:r w:rsidR="0083758B" w:rsidRPr="0083758B">
        <w:rPr>
          <w:lang w:val="fr-FR"/>
        </w:rPr>
        <w:t xml:space="preserve">Nécessité de connaître les </w:t>
      </w:r>
      <w:r w:rsidR="0083758B">
        <w:rPr>
          <w:lang w:val="fr-FR"/>
        </w:rPr>
        <w:t>mesures d’</w:t>
      </w:r>
      <w:r w:rsidR="0083758B" w:rsidRPr="0083758B">
        <w:rPr>
          <w:lang w:val="fr-FR"/>
        </w:rPr>
        <w:t>incitations et le fon</w:t>
      </w:r>
      <w:r w:rsidR="0083758B">
        <w:rPr>
          <w:lang w:val="fr-FR"/>
        </w:rPr>
        <w:t>ctionnement du modèle français d’</w:t>
      </w:r>
      <w:r w:rsidR="0083758B" w:rsidRPr="0083758B">
        <w:rPr>
          <w:lang w:val="fr-FR"/>
        </w:rPr>
        <w:t>attribu</w:t>
      </w:r>
      <w:r w:rsidR="0083758B">
        <w:rPr>
          <w:lang w:val="fr-FR"/>
        </w:rPr>
        <w:t>tion</w:t>
      </w:r>
      <w:r w:rsidR="0083758B" w:rsidRPr="0083758B">
        <w:rPr>
          <w:lang w:val="fr-FR"/>
        </w:rPr>
        <w:t xml:space="preserve"> et en tenant compte de l'importance du local / autochtone dans le cahier des charges.</w:t>
      </w:r>
    </w:p>
    <w:p w14:paraId="69E5DF66" w14:textId="77777777" w:rsidR="00226416" w:rsidRPr="002144D1" w:rsidRDefault="00226416" w:rsidP="00615167">
      <w:pPr>
        <w:rPr>
          <w:lang w:val="fr-FR"/>
        </w:rPr>
      </w:pPr>
    </w:p>
    <w:sectPr w:rsidR="00226416" w:rsidRPr="002144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4B02" w14:textId="77777777" w:rsidR="000E4CFC" w:rsidRDefault="000E4CFC" w:rsidP="00615167">
      <w:pPr>
        <w:spacing w:after="0" w:line="240" w:lineRule="auto"/>
      </w:pPr>
      <w:r>
        <w:separator/>
      </w:r>
    </w:p>
  </w:endnote>
  <w:endnote w:type="continuationSeparator" w:id="0">
    <w:p w14:paraId="17A17CA2" w14:textId="77777777" w:rsidR="000E4CFC" w:rsidRDefault="000E4CFC" w:rsidP="0061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0A4D" w14:textId="77777777" w:rsidR="00615167" w:rsidRDefault="00615167" w:rsidP="00615167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7071F510" wp14:editId="5ED34E36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EDC87" w14:textId="77777777" w:rsidR="00615167" w:rsidRDefault="006151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62094" w14:textId="77777777" w:rsidR="000E4CFC" w:rsidRDefault="000E4CFC" w:rsidP="00615167">
      <w:pPr>
        <w:spacing w:after="0" w:line="240" w:lineRule="auto"/>
      </w:pPr>
      <w:r>
        <w:separator/>
      </w:r>
    </w:p>
  </w:footnote>
  <w:footnote w:type="continuationSeparator" w:id="0">
    <w:p w14:paraId="0544AA83" w14:textId="77777777" w:rsidR="000E4CFC" w:rsidRDefault="000E4CFC" w:rsidP="0061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E8C7" w14:textId="77777777" w:rsidR="00615167" w:rsidRDefault="00615167" w:rsidP="00615167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74D238EF" wp14:editId="3FDF3145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102CF1A0" w14:textId="77777777" w:rsidR="00615167" w:rsidRDefault="006151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AE5"/>
    <w:multiLevelType w:val="hybridMultilevel"/>
    <w:tmpl w:val="4AEC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57A"/>
    <w:multiLevelType w:val="hybridMultilevel"/>
    <w:tmpl w:val="7AB2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794"/>
    <w:multiLevelType w:val="hybridMultilevel"/>
    <w:tmpl w:val="89FAA6F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73631E"/>
    <w:multiLevelType w:val="hybridMultilevel"/>
    <w:tmpl w:val="A18288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761940"/>
    <w:multiLevelType w:val="hybridMultilevel"/>
    <w:tmpl w:val="BDCE2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52CD5"/>
    <w:multiLevelType w:val="hybridMultilevel"/>
    <w:tmpl w:val="37EA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5650"/>
    <w:multiLevelType w:val="hybridMultilevel"/>
    <w:tmpl w:val="2416D6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D44446"/>
    <w:multiLevelType w:val="hybridMultilevel"/>
    <w:tmpl w:val="EBA4ABC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0"/>
    <w:rsid w:val="00057158"/>
    <w:rsid w:val="000E4CFC"/>
    <w:rsid w:val="000F32D9"/>
    <w:rsid w:val="000F399B"/>
    <w:rsid w:val="001803A7"/>
    <w:rsid w:val="001D3F16"/>
    <w:rsid w:val="001E0366"/>
    <w:rsid w:val="002119B8"/>
    <w:rsid w:val="002144D1"/>
    <w:rsid w:val="002176BB"/>
    <w:rsid w:val="00226416"/>
    <w:rsid w:val="002579C4"/>
    <w:rsid w:val="002C4D4A"/>
    <w:rsid w:val="003D3416"/>
    <w:rsid w:val="004017F2"/>
    <w:rsid w:val="00423430"/>
    <w:rsid w:val="00424085"/>
    <w:rsid w:val="005D46BF"/>
    <w:rsid w:val="00615167"/>
    <w:rsid w:val="006606D6"/>
    <w:rsid w:val="006768B7"/>
    <w:rsid w:val="00695788"/>
    <w:rsid w:val="00723588"/>
    <w:rsid w:val="00833729"/>
    <w:rsid w:val="0083758B"/>
    <w:rsid w:val="008F4D0A"/>
    <w:rsid w:val="009F0E28"/>
    <w:rsid w:val="00AD02F6"/>
    <w:rsid w:val="00B3541D"/>
    <w:rsid w:val="00B43D27"/>
    <w:rsid w:val="00B8545C"/>
    <w:rsid w:val="00CC1EAE"/>
    <w:rsid w:val="00DA7B33"/>
    <w:rsid w:val="00DC059E"/>
    <w:rsid w:val="00E65F47"/>
    <w:rsid w:val="00EC708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16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16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6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264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E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B3541D"/>
    <w:rPr>
      <w:lang w:val="en-US"/>
    </w:rPr>
  </w:style>
  <w:style w:type="character" w:customStyle="1" w:styleId="tlid-translation">
    <w:name w:val="tlid-translation"/>
    <w:basedOn w:val="Fuentedeprrafopredeter"/>
    <w:rsid w:val="0005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568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Del Rio, Sergio (NASUVINSA)</dc:creator>
  <cp:keywords/>
  <dc:description/>
  <cp:lastModifiedBy>Usuario de Microsoft Office</cp:lastModifiedBy>
  <cp:revision>9</cp:revision>
  <dcterms:created xsi:type="dcterms:W3CDTF">2019-03-11T09:14:00Z</dcterms:created>
  <dcterms:modified xsi:type="dcterms:W3CDTF">2019-05-28T10:45:00Z</dcterms:modified>
</cp:coreProperties>
</file>